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AA" w:rsidRDefault="00D96016">
      <w:r>
        <w:rPr>
          <w:noProof/>
        </w:rPr>
        <w:drawing>
          <wp:anchor distT="0" distB="0" distL="114300" distR="114300" simplePos="0" relativeHeight="251669504" behindDoc="0" locked="0" layoutInCell="1" allowOverlap="1">
            <wp:simplePos x="0" y="0"/>
            <wp:positionH relativeFrom="column">
              <wp:posOffset>192975</wp:posOffset>
            </wp:positionH>
            <wp:positionV relativeFrom="paragraph">
              <wp:posOffset>-307571</wp:posOffset>
            </wp:positionV>
            <wp:extent cx="1508166" cy="1576720"/>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exarCount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166" cy="1576720"/>
                    </a:xfrm>
                    <a:prstGeom prst="rect">
                      <a:avLst/>
                    </a:prstGeom>
                  </pic:spPr>
                </pic:pic>
              </a:graphicData>
            </a:graphic>
            <wp14:sizeRelH relativeFrom="page">
              <wp14:pctWidth>0</wp14:pctWidth>
            </wp14:sizeRelH>
            <wp14:sizeRelV relativeFrom="page">
              <wp14:pctHeight>0</wp14:pctHeight>
            </wp14:sizeRelV>
          </wp:anchor>
        </w:drawing>
      </w:r>
      <w:r w:rsidR="00BA3C39">
        <w:rPr>
          <w:noProof/>
        </w:rPr>
        <mc:AlternateContent>
          <mc:Choice Requires="wps">
            <w:drawing>
              <wp:anchor distT="0" distB="0" distL="114300" distR="114300" simplePos="0" relativeHeight="251659264" behindDoc="0" locked="0" layoutInCell="1" allowOverlap="1" wp14:anchorId="05BED552" wp14:editId="050A5C3F">
                <wp:simplePos x="0" y="0"/>
                <wp:positionH relativeFrom="column">
                  <wp:posOffset>2540</wp:posOffset>
                </wp:positionH>
                <wp:positionV relativeFrom="paragraph">
                  <wp:posOffset>154940</wp:posOffset>
                </wp:positionV>
                <wp:extent cx="6517640" cy="605155"/>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6517640" cy="605155"/>
                        </a:xfrm>
                        <a:prstGeom prst="rect">
                          <a:avLst/>
                        </a:prstGeom>
                        <a:solidFill>
                          <a:srgbClr val="CBB96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29D9" w:rsidRPr="00CD29D9" w:rsidRDefault="00CD29D9" w:rsidP="00AA737E">
                            <w:pPr>
                              <w:jc w:val="right"/>
                              <w:rPr>
                                <w:rFonts w:ascii="Arial" w:hAnsi="Arial"/>
                                <w:b/>
                                <w:sz w:val="28"/>
                                <w:szCs w:val="28"/>
                              </w:rPr>
                            </w:pPr>
                            <w:r w:rsidRPr="00CD29D9">
                              <w:rPr>
                                <w:rFonts w:ascii="Arial" w:hAnsi="Arial"/>
                                <w:b/>
                                <w:sz w:val="28"/>
                                <w:szCs w:val="28"/>
                              </w:rPr>
                              <w:t>FACT SHEET</w:t>
                            </w:r>
                            <w:r w:rsidR="00AA737E" w:rsidRPr="00CD29D9">
                              <w:rPr>
                                <w:rFonts w:ascii="Arial" w:hAnsi="Arial"/>
                                <w:b/>
                                <w:sz w:val="28"/>
                                <w:szCs w:val="28"/>
                              </w:rPr>
                              <w:t xml:space="preserve"> </w:t>
                            </w:r>
                          </w:p>
                          <w:p w:rsidR="00AA737E" w:rsidRPr="00203277" w:rsidRDefault="00AA737E" w:rsidP="00AA737E">
                            <w:pPr>
                              <w:jc w:val="right"/>
                              <w:rPr>
                                <w:sz w:val="28"/>
                                <w:szCs w:val="28"/>
                              </w:rPr>
                            </w:pPr>
                            <w:r w:rsidRPr="00203277">
                              <w:rPr>
                                <w:rFonts w:ascii="Arial" w:hAnsi="Arial"/>
                                <w:sz w:val="28"/>
                                <w:szCs w:val="28"/>
                              </w:rPr>
                              <w:t>ANTI-IDLING ORDINANCES</w:t>
                            </w:r>
                            <w:r w:rsidR="00CD29D9">
                              <w:rPr>
                                <w:rFonts w:ascii="Arial" w:hAnsi="Arial"/>
                                <w:sz w:val="28"/>
                                <w:szCs w:val="28"/>
                              </w:rPr>
                              <w:t xml:space="preserve"> </w:t>
                            </w:r>
                            <w:r w:rsidRPr="00203277">
                              <w:rPr>
                                <w:rFonts w:ascii="Arial" w:hAnsi="Arial"/>
                                <w:sz w:val="28"/>
                                <w:szCs w:val="28"/>
                              </w:rPr>
                              <w:t>IN THE ALAMO REGION</w:t>
                            </w:r>
                            <w:r w:rsidRPr="00203277">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2.2pt;width:513.2pt;height:4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" fillcolor="#cbb96c" stroked="f" strokeweight=".5pt">
                <v:textbox>
                  <w:txbxContent>
                    <w:p w:rsidR="00CD29D9" w:rsidRPr="00CD29D9" w:rsidRDefault="00CD29D9" w:rsidP="00AA737E">
                      <w:pPr>
                        <w:jc w:val="right"/>
                        <w:rPr>
                          <w:rFonts w:ascii="Arial" w:hAnsi="Arial"/>
                          <w:b/>
                          <w:sz w:val="28"/>
                          <w:szCs w:val="28"/>
                        </w:rPr>
                      </w:pPr>
                      <w:r w:rsidRPr="00CD29D9">
                        <w:rPr>
                          <w:rFonts w:ascii="Arial" w:hAnsi="Arial"/>
                          <w:b/>
                          <w:sz w:val="28"/>
                          <w:szCs w:val="28"/>
                        </w:rPr>
                        <w:t>FACT SHEET</w:t>
                      </w:r>
                      <w:r w:rsidR="00AA737E" w:rsidRPr="00CD29D9">
                        <w:rPr>
                          <w:rFonts w:ascii="Arial" w:hAnsi="Arial"/>
                          <w:b/>
                          <w:sz w:val="28"/>
                          <w:szCs w:val="28"/>
                        </w:rPr>
                        <w:t xml:space="preserve"> </w:t>
                      </w:r>
                    </w:p>
                    <w:p w:rsidR="00AA737E" w:rsidRPr="00203277" w:rsidRDefault="00AA737E" w:rsidP="00AA737E">
                      <w:pPr>
                        <w:jc w:val="right"/>
                        <w:rPr>
                          <w:sz w:val="28"/>
                          <w:szCs w:val="28"/>
                        </w:rPr>
                      </w:pPr>
                      <w:r w:rsidRPr="00203277">
                        <w:rPr>
                          <w:rFonts w:ascii="Arial" w:hAnsi="Arial"/>
                          <w:sz w:val="28"/>
                          <w:szCs w:val="28"/>
                        </w:rPr>
                        <w:t>ANTI-IDLING ORDINANCES</w:t>
                      </w:r>
                      <w:r w:rsidR="00CD29D9">
                        <w:rPr>
                          <w:rFonts w:ascii="Arial" w:hAnsi="Arial"/>
                          <w:sz w:val="28"/>
                          <w:szCs w:val="28"/>
                        </w:rPr>
                        <w:t xml:space="preserve"> </w:t>
                      </w:r>
                      <w:r w:rsidRPr="00203277">
                        <w:rPr>
                          <w:rFonts w:ascii="Arial" w:hAnsi="Arial"/>
                          <w:sz w:val="28"/>
                          <w:szCs w:val="28"/>
                        </w:rPr>
                        <w:t>IN THE ALAMO REGION</w:t>
                      </w:r>
                      <w:r w:rsidRPr="00203277">
                        <w:rPr>
                          <w:sz w:val="28"/>
                          <w:szCs w:val="28"/>
                        </w:rPr>
                        <w:t xml:space="preserve"> </w:t>
                      </w:r>
                    </w:p>
                  </w:txbxContent>
                </v:textbox>
                <w10:wrap type="square"/>
              </v:shape>
            </w:pict>
          </mc:Fallback>
        </mc:AlternateContent>
      </w:r>
    </w:p>
    <w:p w:rsidR="00AA737E" w:rsidRDefault="00AA737E">
      <w:bookmarkStart w:id="0" w:name="_GoBack"/>
      <w:bookmarkEnd w:id="0"/>
    </w:p>
    <w:p w:rsidR="00BA3C39" w:rsidRDefault="00BA3C39"/>
    <w:p w:rsidR="00203277" w:rsidRPr="0063518D" w:rsidRDefault="00203277" w:rsidP="00203277">
      <w:pPr>
        <w:rPr>
          <w:rFonts w:ascii="Arial" w:hAnsi="Arial"/>
          <w:b/>
          <w:sz w:val="22"/>
          <w:szCs w:val="22"/>
        </w:rPr>
      </w:pPr>
      <w:r w:rsidRPr="0063518D">
        <w:rPr>
          <w:rFonts w:ascii="Arial" w:hAnsi="Arial"/>
          <w:b/>
          <w:sz w:val="22"/>
          <w:szCs w:val="22"/>
        </w:rPr>
        <w:t xml:space="preserve">Why </w:t>
      </w:r>
      <w:r w:rsidR="0063518D">
        <w:rPr>
          <w:rFonts w:ascii="Arial" w:hAnsi="Arial"/>
          <w:b/>
          <w:sz w:val="22"/>
          <w:szCs w:val="22"/>
        </w:rPr>
        <w:t>is there a need for</w:t>
      </w:r>
      <w:r w:rsidRPr="0063518D">
        <w:rPr>
          <w:rFonts w:ascii="Arial" w:hAnsi="Arial"/>
          <w:b/>
          <w:sz w:val="22"/>
          <w:szCs w:val="22"/>
        </w:rPr>
        <w:t xml:space="preserve"> anti-idling ordinances in the Alamo region?</w:t>
      </w:r>
    </w:p>
    <w:p w:rsidR="006B0036" w:rsidRDefault="00203277" w:rsidP="00203277">
      <w:pPr>
        <w:rPr>
          <w:rFonts w:ascii="Arial" w:hAnsi="Arial"/>
          <w:sz w:val="22"/>
          <w:szCs w:val="22"/>
        </w:rPr>
      </w:pPr>
      <w:r>
        <w:rPr>
          <w:rFonts w:ascii="Arial" w:hAnsi="Arial"/>
          <w:sz w:val="22"/>
          <w:szCs w:val="22"/>
        </w:rPr>
        <w:t xml:space="preserve">The San Antonio area </w:t>
      </w:r>
      <w:r w:rsidR="001339BE">
        <w:rPr>
          <w:rFonts w:ascii="Arial" w:hAnsi="Arial"/>
          <w:sz w:val="22"/>
          <w:szCs w:val="22"/>
        </w:rPr>
        <w:t>experiences periods each year when air pollution reaches unhealthy levels</w:t>
      </w:r>
      <w:r>
        <w:rPr>
          <w:rFonts w:ascii="Arial" w:hAnsi="Arial"/>
          <w:sz w:val="22"/>
          <w:szCs w:val="22"/>
        </w:rPr>
        <w:t>.</w:t>
      </w:r>
      <w:r w:rsidR="001339BE">
        <w:rPr>
          <w:rFonts w:ascii="Arial" w:hAnsi="Arial"/>
          <w:sz w:val="22"/>
          <w:szCs w:val="22"/>
        </w:rPr>
        <w:t xml:space="preserve">  This puts the region at risk of violating federal air pollution rules</w:t>
      </w:r>
      <w:r w:rsidR="007A716D">
        <w:rPr>
          <w:rFonts w:ascii="Arial" w:hAnsi="Arial"/>
          <w:sz w:val="22"/>
          <w:szCs w:val="22"/>
        </w:rPr>
        <w:t xml:space="preserve">, </w:t>
      </w:r>
      <w:r w:rsidR="006B0036">
        <w:rPr>
          <w:rFonts w:ascii="Arial" w:hAnsi="Arial"/>
          <w:sz w:val="22"/>
          <w:szCs w:val="22"/>
        </w:rPr>
        <w:t>a risk that could impact businesses</w:t>
      </w:r>
      <w:r w:rsidR="00EC3FDC">
        <w:rPr>
          <w:rFonts w:ascii="Arial" w:hAnsi="Arial"/>
          <w:sz w:val="22"/>
          <w:szCs w:val="22"/>
        </w:rPr>
        <w:t xml:space="preserve"> and </w:t>
      </w:r>
      <w:r w:rsidR="006B0036">
        <w:rPr>
          <w:rFonts w:ascii="Arial" w:hAnsi="Arial"/>
          <w:sz w:val="22"/>
          <w:szCs w:val="22"/>
        </w:rPr>
        <w:t>governments by requiring costly solutions.</w:t>
      </w:r>
      <w:r w:rsidR="007A716D">
        <w:rPr>
          <w:rFonts w:ascii="Arial" w:hAnsi="Arial"/>
          <w:sz w:val="22"/>
          <w:szCs w:val="22"/>
        </w:rPr>
        <w:t xml:space="preserve"> </w:t>
      </w:r>
      <w:r w:rsidR="001339BE">
        <w:rPr>
          <w:rFonts w:ascii="Arial" w:hAnsi="Arial"/>
          <w:sz w:val="22"/>
          <w:szCs w:val="22"/>
        </w:rPr>
        <w:t xml:space="preserve"> </w:t>
      </w:r>
      <w:r w:rsidR="00A57B65">
        <w:rPr>
          <w:rFonts w:ascii="Arial" w:hAnsi="Arial"/>
          <w:sz w:val="22"/>
          <w:szCs w:val="22"/>
        </w:rPr>
        <w:t>Air pollution also impacts health and medical costs.</w:t>
      </w:r>
    </w:p>
    <w:p w:rsidR="006B0036" w:rsidRDefault="006B0036" w:rsidP="00203277">
      <w:pPr>
        <w:rPr>
          <w:rFonts w:ascii="Arial" w:hAnsi="Arial"/>
          <w:sz w:val="22"/>
          <w:szCs w:val="22"/>
        </w:rPr>
      </w:pPr>
    </w:p>
    <w:p w:rsidR="00203277" w:rsidRDefault="0063518D" w:rsidP="00203277">
      <w:pPr>
        <w:rPr>
          <w:rFonts w:ascii="Arial" w:hAnsi="Arial"/>
          <w:sz w:val="22"/>
          <w:szCs w:val="22"/>
        </w:rPr>
      </w:pPr>
      <w:r>
        <w:rPr>
          <w:rFonts w:ascii="Arial" w:hAnsi="Arial"/>
          <w:sz w:val="22"/>
          <w:szCs w:val="22"/>
        </w:rPr>
        <w:t xml:space="preserve">Collectively, the </w:t>
      </w:r>
      <w:r w:rsidR="001339BE">
        <w:rPr>
          <w:rFonts w:ascii="Arial" w:hAnsi="Arial"/>
          <w:sz w:val="22"/>
          <w:szCs w:val="22"/>
        </w:rPr>
        <w:t>cars, trucks and buses</w:t>
      </w:r>
      <w:r>
        <w:rPr>
          <w:rFonts w:ascii="Arial" w:hAnsi="Arial"/>
          <w:sz w:val="22"/>
          <w:szCs w:val="22"/>
        </w:rPr>
        <w:t xml:space="preserve"> using our roadways represent one of the largest sources of air pollution in our region.</w:t>
      </w:r>
      <w:r w:rsidR="006B0036">
        <w:rPr>
          <w:rFonts w:ascii="Arial" w:hAnsi="Arial"/>
          <w:sz w:val="22"/>
          <w:szCs w:val="22"/>
        </w:rPr>
        <w:t xml:space="preserve">  One of the </w:t>
      </w:r>
      <w:r w:rsidR="00432E47">
        <w:rPr>
          <w:rFonts w:ascii="Arial" w:hAnsi="Arial"/>
          <w:sz w:val="22"/>
          <w:szCs w:val="22"/>
        </w:rPr>
        <w:t xml:space="preserve">easiest </w:t>
      </w:r>
      <w:r w:rsidR="006B0036">
        <w:rPr>
          <w:rFonts w:ascii="Arial" w:hAnsi="Arial"/>
          <w:sz w:val="22"/>
          <w:szCs w:val="22"/>
        </w:rPr>
        <w:t xml:space="preserve">solutions to reducing vehicle-related pollution is as simple as turning </w:t>
      </w:r>
      <w:r w:rsidR="004D5380">
        <w:rPr>
          <w:rFonts w:ascii="Arial" w:hAnsi="Arial"/>
          <w:sz w:val="22"/>
          <w:szCs w:val="22"/>
        </w:rPr>
        <w:t xml:space="preserve">off a vehicle’s engine </w:t>
      </w:r>
      <w:r w:rsidR="00432E47">
        <w:rPr>
          <w:rFonts w:ascii="Arial" w:hAnsi="Arial"/>
          <w:sz w:val="22"/>
          <w:szCs w:val="22"/>
        </w:rPr>
        <w:t>and</w:t>
      </w:r>
      <w:r w:rsidR="004D5380">
        <w:rPr>
          <w:rFonts w:ascii="Arial" w:hAnsi="Arial"/>
          <w:sz w:val="22"/>
          <w:szCs w:val="22"/>
        </w:rPr>
        <w:t xml:space="preserve"> </w:t>
      </w:r>
      <w:r w:rsidR="006B0036">
        <w:rPr>
          <w:rFonts w:ascii="Arial" w:hAnsi="Arial"/>
          <w:sz w:val="22"/>
          <w:szCs w:val="22"/>
        </w:rPr>
        <w:t>avoid</w:t>
      </w:r>
      <w:r w:rsidR="00432E47">
        <w:rPr>
          <w:rFonts w:ascii="Arial" w:hAnsi="Arial"/>
          <w:sz w:val="22"/>
          <w:szCs w:val="22"/>
        </w:rPr>
        <w:t>ing</w:t>
      </w:r>
      <w:r w:rsidR="006B0036">
        <w:rPr>
          <w:rFonts w:ascii="Arial" w:hAnsi="Arial"/>
          <w:sz w:val="22"/>
          <w:szCs w:val="22"/>
        </w:rPr>
        <w:t xml:space="preserve"> unnecessary idling.  </w:t>
      </w:r>
      <w:r w:rsidR="004638A7">
        <w:rPr>
          <w:rFonts w:ascii="Arial" w:hAnsi="Arial"/>
          <w:sz w:val="22"/>
          <w:szCs w:val="22"/>
        </w:rPr>
        <w:t xml:space="preserve">  </w:t>
      </w:r>
    </w:p>
    <w:p w:rsidR="0063518D" w:rsidRDefault="00862F83" w:rsidP="00203277">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61312" behindDoc="0" locked="0" layoutInCell="1" allowOverlap="1" wp14:anchorId="79818BDD" wp14:editId="79DF9937">
                <wp:simplePos x="0" y="0"/>
                <wp:positionH relativeFrom="column">
                  <wp:posOffset>26670</wp:posOffset>
                </wp:positionH>
                <wp:positionV relativeFrom="paragraph">
                  <wp:posOffset>126175</wp:posOffset>
                </wp:positionV>
                <wp:extent cx="64008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CBB96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9.95pt" to="506.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" strokecolor="#cbb96c" strokeweight="2.25pt">
                <v:stroke dashstyle="dash"/>
              </v:line>
            </w:pict>
          </mc:Fallback>
        </mc:AlternateContent>
      </w:r>
    </w:p>
    <w:p w:rsidR="00862F83" w:rsidRDefault="00862F83" w:rsidP="00203277">
      <w:pPr>
        <w:rPr>
          <w:rFonts w:ascii="Arial" w:hAnsi="Arial"/>
          <w:sz w:val="22"/>
          <w:szCs w:val="22"/>
        </w:rPr>
      </w:pPr>
    </w:p>
    <w:p w:rsidR="006B0036" w:rsidRPr="00862F83" w:rsidRDefault="006B0036" w:rsidP="00203277">
      <w:pPr>
        <w:rPr>
          <w:rFonts w:ascii="Arial" w:hAnsi="Arial"/>
          <w:b/>
          <w:sz w:val="22"/>
          <w:szCs w:val="22"/>
        </w:rPr>
      </w:pPr>
      <w:r w:rsidRPr="00862F83">
        <w:rPr>
          <w:rFonts w:ascii="Arial" w:hAnsi="Arial"/>
          <w:b/>
          <w:sz w:val="22"/>
          <w:szCs w:val="22"/>
        </w:rPr>
        <w:t>Benefits of</w:t>
      </w:r>
      <w:r w:rsidR="00634C64">
        <w:rPr>
          <w:rFonts w:ascii="Arial" w:hAnsi="Arial"/>
          <w:b/>
          <w:sz w:val="22"/>
          <w:szCs w:val="22"/>
        </w:rPr>
        <w:t xml:space="preserve"> reducing</w:t>
      </w:r>
      <w:r w:rsidRPr="00862F83">
        <w:rPr>
          <w:rFonts w:ascii="Arial" w:hAnsi="Arial"/>
          <w:b/>
          <w:sz w:val="22"/>
          <w:szCs w:val="22"/>
        </w:rPr>
        <w:t xml:space="preserve"> </w:t>
      </w:r>
      <w:r w:rsidR="00632E93">
        <w:rPr>
          <w:rFonts w:ascii="Arial" w:hAnsi="Arial"/>
          <w:b/>
          <w:sz w:val="22"/>
          <w:szCs w:val="22"/>
        </w:rPr>
        <w:t xml:space="preserve">engine idling </w:t>
      </w:r>
    </w:p>
    <w:p w:rsidR="00795709" w:rsidRDefault="00795709" w:rsidP="00203277">
      <w:pPr>
        <w:rPr>
          <w:rFonts w:ascii="Arial" w:hAnsi="Arial"/>
          <w:sz w:val="22"/>
          <w:szCs w:val="22"/>
        </w:rPr>
      </w:pPr>
      <w:r>
        <w:rPr>
          <w:rFonts w:ascii="Arial" w:hAnsi="Arial"/>
          <w:sz w:val="22"/>
          <w:szCs w:val="22"/>
        </w:rPr>
        <w:t xml:space="preserve">Idling is the continuous operation of an engine in working mode when the engine is not propelling the vehicle and there is no load on the engine.  Idling cannot be completely eliminated, but </w:t>
      </w:r>
      <w:r w:rsidR="00634C64">
        <w:rPr>
          <w:rFonts w:ascii="Arial" w:hAnsi="Arial"/>
          <w:sz w:val="22"/>
          <w:szCs w:val="22"/>
        </w:rPr>
        <w:t>much of it is unnecessary and may cost companies and drivers hundreds or thousands of dollars a year.</w:t>
      </w:r>
    </w:p>
    <w:p w:rsidR="00795709" w:rsidRPr="00795709" w:rsidRDefault="00795709" w:rsidP="00795709">
      <w:pPr>
        <w:jc w:val="center"/>
        <w:rPr>
          <w:rFonts w:ascii="Arial" w:hAnsi="Arial"/>
          <w:b/>
          <w:color w:val="917F33"/>
          <w:sz w:val="28"/>
          <w:szCs w:val="28"/>
        </w:rPr>
      </w:pPr>
      <w:r w:rsidRPr="00795709">
        <w:rPr>
          <w:rFonts w:ascii="Arial" w:hAnsi="Arial"/>
          <w:b/>
          <w:color w:val="917F33"/>
          <w:sz w:val="28"/>
          <w:szCs w:val="28"/>
        </w:rPr>
        <w:t>Idling = 0 miles per gallon</w:t>
      </w:r>
    </w:p>
    <w:p w:rsidR="006B0036" w:rsidRDefault="00634C64" w:rsidP="00203277">
      <w:pPr>
        <w:rPr>
          <w:rFonts w:ascii="Arial" w:hAnsi="Arial"/>
          <w:sz w:val="22"/>
          <w:szCs w:val="22"/>
        </w:rPr>
      </w:pPr>
      <w:r>
        <w:rPr>
          <w:rFonts w:ascii="Arial" w:hAnsi="Arial"/>
          <w:sz w:val="22"/>
          <w:szCs w:val="22"/>
        </w:rPr>
        <w:t xml:space="preserve">EPA estimates that one heavy-duty truck burns as much as 1,830 gallons of fuel annually due to unnecessary idling.  Even with low fuel </w:t>
      </w:r>
      <w:r w:rsidR="00DB004D">
        <w:rPr>
          <w:rFonts w:ascii="Arial" w:hAnsi="Arial"/>
          <w:sz w:val="22"/>
          <w:szCs w:val="22"/>
        </w:rPr>
        <w:t>prices</w:t>
      </w:r>
      <w:r>
        <w:rPr>
          <w:rFonts w:ascii="Arial" w:hAnsi="Arial"/>
          <w:sz w:val="22"/>
          <w:szCs w:val="22"/>
        </w:rPr>
        <w:t xml:space="preserve"> ($1.50/gallon), eliminating unnecessary idling would save more than $2,700 </w:t>
      </w:r>
      <w:r w:rsidR="00DB004D">
        <w:rPr>
          <w:rFonts w:ascii="Arial" w:hAnsi="Arial"/>
          <w:sz w:val="22"/>
          <w:szCs w:val="22"/>
        </w:rPr>
        <w:t>per year</w:t>
      </w:r>
      <w:r>
        <w:rPr>
          <w:rFonts w:ascii="Arial" w:hAnsi="Arial"/>
          <w:sz w:val="22"/>
          <w:szCs w:val="22"/>
        </w:rPr>
        <w:t xml:space="preserve">.   </w:t>
      </w:r>
      <w:r w:rsidR="00DB004D">
        <w:rPr>
          <w:rFonts w:ascii="Arial" w:hAnsi="Arial"/>
          <w:sz w:val="22"/>
          <w:szCs w:val="22"/>
        </w:rPr>
        <w:t>In addition, reducing idling time also decreases engine wear.</w:t>
      </w:r>
    </w:p>
    <w:p w:rsidR="00DB004D" w:rsidRDefault="00DB004D" w:rsidP="00DB004D">
      <w:pPr>
        <w:rPr>
          <w:rFonts w:ascii="Arial" w:hAnsi="Arial"/>
          <w:sz w:val="22"/>
          <w:szCs w:val="22"/>
        </w:rPr>
      </w:pPr>
    </w:p>
    <w:p w:rsidR="00DB004D" w:rsidRDefault="00DB004D" w:rsidP="00DB004D">
      <w:pPr>
        <w:rPr>
          <w:rFonts w:ascii="Arial" w:hAnsi="Arial"/>
          <w:sz w:val="22"/>
          <w:szCs w:val="22"/>
        </w:rPr>
      </w:pPr>
      <w:r>
        <w:rPr>
          <w:rFonts w:ascii="Arial" w:hAnsi="Arial"/>
          <w:sz w:val="22"/>
          <w:szCs w:val="22"/>
        </w:rPr>
        <w:t xml:space="preserve">Heavy-duty vehicles contribute roughly a third of the pollutants from the transportation sector, but comprise only </w:t>
      </w:r>
      <w:r w:rsidRPr="00DB004D">
        <w:rPr>
          <w:rFonts w:ascii="Arial" w:hAnsi="Arial"/>
          <w:sz w:val="22"/>
          <w:szCs w:val="22"/>
        </w:rPr>
        <w:t>2 percent of the total number of vehicles on the roadways</w:t>
      </w:r>
      <w:r>
        <w:rPr>
          <w:rFonts w:ascii="Arial" w:hAnsi="Arial"/>
          <w:sz w:val="22"/>
          <w:szCs w:val="22"/>
        </w:rPr>
        <w:t xml:space="preserve">.  </w:t>
      </w:r>
      <w:r w:rsidR="00C77719">
        <w:rPr>
          <w:rFonts w:ascii="Arial" w:hAnsi="Arial"/>
          <w:sz w:val="22"/>
          <w:szCs w:val="22"/>
        </w:rPr>
        <w:t>Idling emissions are particularly high.  A</w:t>
      </w:r>
      <w:r w:rsidR="00692D30">
        <w:rPr>
          <w:rFonts w:ascii="Arial" w:hAnsi="Arial"/>
          <w:sz w:val="22"/>
          <w:szCs w:val="22"/>
        </w:rPr>
        <w:t xml:space="preserve"> typical long-haul truck generates nearly 50 times more </w:t>
      </w:r>
      <w:r w:rsidR="00DC3B78">
        <w:rPr>
          <w:rFonts w:ascii="Arial" w:hAnsi="Arial"/>
          <w:sz w:val="22"/>
          <w:szCs w:val="22"/>
        </w:rPr>
        <w:t xml:space="preserve">smog-forming emissions while idling than the average passenger car.  </w:t>
      </w:r>
      <w:r w:rsidR="00C77719">
        <w:rPr>
          <w:rFonts w:ascii="Arial" w:hAnsi="Arial"/>
          <w:sz w:val="22"/>
          <w:szCs w:val="22"/>
        </w:rPr>
        <w:t xml:space="preserve">So the health of truck operators and the greater community benefit from limiting unnecessary </w:t>
      </w:r>
      <w:r w:rsidR="008C589B">
        <w:rPr>
          <w:rFonts w:ascii="Arial" w:hAnsi="Arial"/>
          <w:sz w:val="22"/>
          <w:szCs w:val="22"/>
        </w:rPr>
        <w:t xml:space="preserve">heavy-duty </w:t>
      </w:r>
      <w:r w:rsidR="00C77719">
        <w:rPr>
          <w:rFonts w:ascii="Arial" w:hAnsi="Arial"/>
          <w:sz w:val="22"/>
          <w:szCs w:val="22"/>
        </w:rPr>
        <w:t>engine idling</w:t>
      </w:r>
      <w:r w:rsidR="00146B06">
        <w:rPr>
          <w:rFonts w:ascii="Arial" w:hAnsi="Arial"/>
          <w:sz w:val="22"/>
          <w:szCs w:val="22"/>
        </w:rPr>
        <w:t>.</w:t>
      </w:r>
    </w:p>
    <w:p w:rsidR="00795709" w:rsidRDefault="00DB409B" w:rsidP="00203277">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63360" behindDoc="0" locked="0" layoutInCell="1" allowOverlap="1" wp14:anchorId="37D1A722" wp14:editId="0105A7AF">
                <wp:simplePos x="0" y="0"/>
                <wp:positionH relativeFrom="column">
                  <wp:posOffset>21590</wp:posOffset>
                </wp:positionH>
                <wp:positionV relativeFrom="paragraph">
                  <wp:posOffset>143320</wp:posOffset>
                </wp:positionV>
                <wp:extent cx="64008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CBB96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pt,11.3pt" to="505.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" strokecolor="#cbb96c" strokeweight="2.25pt">
                <v:stroke dashstyle="dash"/>
              </v:line>
            </w:pict>
          </mc:Fallback>
        </mc:AlternateContent>
      </w:r>
    </w:p>
    <w:p w:rsidR="0063518D" w:rsidRDefault="0063518D" w:rsidP="00203277">
      <w:pPr>
        <w:rPr>
          <w:rFonts w:ascii="Arial" w:hAnsi="Arial"/>
          <w:sz w:val="22"/>
          <w:szCs w:val="22"/>
        </w:rPr>
      </w:pPr>
    </w:p>
    <w:p w:rsidR="00634C64" w:rsidRPr="00DB409B" w:rsidRDefault="00634C64" w:rsidP="00203277">
      <w:pPr>
        <w:rPr>
          <w:rFonts w:ascii="Arial" w:hAnsi="Arial"/>
          <w:b/>
          <w:sz w:val="22"/>
          <w:szCs w:val="22"/>
        </w:rPr>
      </w:pPr>
      <w:r w:rsidRPr="00DB409B">
        <w:rPr>
          <w:rFonts w:ascii="Arial" w:hAnsi="Arial"/>
          <w:b/>
          <w:sz w:val="22"/>
          <w:szCs w:val="22"/>
        </w:rPr>
        <w:t>Anti-Idling Ordinance</w:t>
      </w:r>
    </w:p>
    <w:p w:rsidR="00203277" w:rsidRDefault="00DB409B" w:rsidP="00203277">
      <w:pPr>
        <w:rPr>
          <w:rFonts w:ascii="Arial" w:hAnsi="Arial"/>
          <w:sz w:val="22"/>
          <w:szCs w:val="22"/>
        </w:rPr>
      </w:pPr>
      <w:r>
        <w:rPr>
          <w:rFonts w:ascii="Arial" w:hAnsi="Arial"/>
          <w:sz w:val="22"/>
          <w:szCs w:val="22"/>
        </w:rPr>
        <w:t>The anti-idling ordinance restricts heavy-duty vehicles with a gross vehicle weight of &gt; 14,000 pounds from idling for more than five minutes</w:t>
      </w:r>
      <w:r w:rsidR="00EC3FDC">
        <w:rPr>
          <w:rFonts w:ascii="Arial" w:hAnsi="Arial"/>
          <w:sz w:val="22"/>
          <w:szCs w:val="22"/>
        </w:rPr>
        <w:t xml:space="preserve"> </w:t>
      </w:r>
      <w:r w:rsidR="00EC3FDC" w:rsidRPr="00E7005C">
        <w:rPr>
          <w:rFonts w:ascii="Arial" w:hAnsi="Arial"/>
          <w:sz w:val="22"/>
          <w:szCs w:val="22"/>
        </w:rPr>
        <w:t>within the City of San Antonio</w:t>
      </w:r>
      <w:r w:rsidR="00E7005C">
        <w:rPr>
          <w:rFonts w:ascii="Arial" w:hAnsi="Arial"/>
          <w:sz w:val="22"/>
          <w:szCs w:val="22"/>
        </w:rPr>
        <w:t xml:space="preserve"> and Bexar County</w:t>
      </w:r>
      <w:r>
        <w:rPr>
          <w:rFonts w:ascii="Arial" w:hAnsi="Arial"/>
          <w:sz w:val="22"/>
          <w:szCs w:val="22"/>
        </w:rPr>
        <w:t>.  While certain vehicles are excluded regardless of weight (such as emergency vehicles)</w:t>
      </w:r>
      <w:proofErr w:type="gramStart"/>
      <w:r w:rsidR="00DA69C0">
        <w:rPr>
          <w:rFonts w:ascii="Arial" w:hAnsi="Arial"/>
          <w:sz w:val="22"/>
          <w:szCs w:val="22"/>
        </w:rPr>
        <w:t>,</w:t>
      </w:r>
      <w:proofErr w:type="gramEnd"/>
      <w:r>
        <w:rPr>
          <w:rFonts w:ascii="Arial" w:hAnsi="Arial"/>
          <w:sz w:val="22"/>
          <w:szCs w:val="22"/>
        </w:rPr>
        <w:t xml:space="preserve"> most vehicle operators will need to adhere to idling restrictions. Vehicles that </w:t>
      </w:r>
      <w:r w:rsidR="00432E47">
        <w:rPr>
          <w:rFonts w:ascii="Arial" w:hAnsi="Arial"/>
          <w:sz w:val="22"/>
          <w:szCs w:val="22"/>
        </w:rPr>
        <w:t>are subject to the anti-idling ordinance include:</w:t>
      </w:r>
    </w:p>
    <w:p w:rsidR="00432E47" w:rsidRDefault="00432E47" w:rsidP="00203277">
      <w:pPr>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432E47" w:rsidTr="00432E47">
        <w:tc>
          <w:tcPr>
            <w:tcW w:w="2574" w:type="dxa"/>
          </w:tcPr>
          <w:p w:rsidR="00432E47" w:rsidRDefault="00432E47" w:rsidP="00203277">
            <w:pPr>
              <w:rPr>
                <w:rFonts w:ascii="Arial" w:hAnsi="Arial"/>
                <w:sz w:val="22"/>
                <w:szCs w:val="22"/>
              </w:rPr>
            </w:pPr>
            <w:r>
              <w:rPr>
                <w:rFonts w:ascii="Arial" w:hAnsi="Arial"/>
                <w:sz w:val="22"/>
                <w:szCs w:val="22"/>
              </w:rPr>
              <w:t>Beverage Trucks</w:t>
            </w:r>
          </w:p>
        </w:tc>
        <w:tc>
          <w:tcPr>
            <w:tcW w:w="2574" w:type="dxa"/>
          </w:tcPr>
          <w:p w:rsidR="00432E47" w:rsidRDefault="00432E47" w:rsidP="00203277">
            <w:pPr>
              <w:rPr>
                <w:rFonts w:ascii="Arial" w:hAnsi="Arial"/>
                <w:sz w:val="22"/>
                <w:szCs w:val="22"/>
              </w:rPr>
            </w:pPr>
            <w:r>
              <w:rPr>
                <w:rFonts w:ascii="Arial" w:hAnsi="Arial"/>
                <w:sz w:val="22"/>
                <w:szCs w:val="22"/>
              </w:rPr>
              <w:t>Utility Trucks</w:t>
            </w:r>
          </w:p>
        </w:tc>
        <w:tc>
          <w:tcPr>
            <w:tcW w:w="2574" w:type="dxa"/>
          </w:tcPr>
          <w:p w:rsidR="00432E47" w:rsidRDefault="00432E47" w:rsidP="00203277">
            <w:pPr>
              <w:rPr>
                <w:rFonts w:ascii="Arial" w:hAnsi="Arial"/>
                <w:sz w:val="22"/>
                <w:szCs w:val="22"/>
              </w:rPr>
            </w:pPr>
            <w:r>
              <w:rPr>
                <w:rFonts w:ascii="Arial" w:hAnsi="Arial"/>
                <w:sz w:val="22"/>
                <w:szCs w:val="22"/>
              </w:rPr>
              <w:t>Stake Trucks</w:t>
            </w:r>
          </w:p>
        </w:tc>
        <w:tc>
          <w:tcPr>
            <w:tcW w:w="2574" w:type="dxa"/>
          </w:tcPr>
          <w:p w:rsidR="00432E47" w:rsidRDefault="00432E47" w:rsidP="00203277">
            <w:pPr>
              <w:rPr>
                <w:rFonts w:ascii="Arial" w:hAnsi="Arial"/>
                <w:sz w:val="22"/>
                <w:szCs w:val="22"/>
              </w:rPr>
            </w:pPr>
            <w:r>
              <w:rPr>
                <w:rFonts w:ascii="Arial" w:hAnsi="Arial"/>
                <w:sz w:val="22"/>
                <w:szCs w:val="22"/>
              </w:rPr>
              <w:t>Bucket Trucks</w:t>
            </w:r>
          </w:p>
        </w:tc>
      </w:tr>
      <w:tr w:rsidR="00432E47" w:rsidTr="00432E47">
        <w:tc>
          <w:tcPr>
            <w:tcW w:w="2574" w:type="dxa"/>
          </w:tcPr>
          <w:p w:rsidR="00432E47" w:rsidRDefault="00432E47" w:rsidP="00203277">
            <w:pPr>
              <w:rPr>
                <w:rFonts w:ascii="Arial" w:hAnsi="Arial"/>
                <w:sz w:val="22"/>
                <w:szCs w:val="22"/>
              </w:rPr>
            </w:pPr>
            <w:r>
              <w:rPr>
                <w:rFonts w:ascii="Arial" w:hAnsi="Arial"/>
                <w:sz w:val="22"/>
                <w:szCs w:val="22"/>
              </w:rPr>
              <w:t>Home Fuel Trucks</w:t>
            </w:r>
          </w:p>
        </w:tc>
        <w:tc>
          <w:tcPr>
            <w:tcW w:w="2574" w:type="dxa"/>
          </w:tcPr>
          <w:p w:rsidR="00432E47" w:rsidRDefault="00432E47" w:rsidP="00203277">
            <w:pPr>
              <w:rPr>
                <w:rFonts w:ascii="Arial" w:hAnsi="Arial"/>
                <w:sz w:val="22"/>
                <w:szCs w:val="22"/>
              </w:rPr>
            </w:pPr>
            <w:r>
              <w:rPr>
                <w:rFonts w:ascii="Arial" w:hAnsi="Arial"/>
                <w:sz w:val="22"/>
                <w:szCs w:val="22"/>
              </w:rPr>
              <w:t>Step Vans</w:t>
            </w:r>
          </w:p>
        </w:tc>
        <w:tc>
          <w:tcPr>
            <w:tcW w:w="2574" w:type="dxa"/>
          </w:tcPr>
          <w:p w:rsidR="00432E47" w:rsidRDefault="00432E47" w:rsidP="00203277">
            <w:pPr>
              <w:rPr>
                <w:rFonts w:ascii="Arial" w:hAnsi="Arial"/>
                <w:sz w:val="22"/>
                <w:szCs w:val="22"/>
              </w:rPr>
            </w:pPr>
            <w:r>
              <w:rPr>
                <w:rFonts w:ascii="Arial" w:hAnsi="Arial"/>
                <w:sz w:val="22"/>
                <w:szCs w:val="22"/>
              </w:rPr>
              <w:t>Delivery Trucks</w:t>
            </w:r>
          </w:p>
        </w:tc>
        <w:tc>
          <w:tcPr>
            <w:tcW w:w="2574" w:type="dxa"/>
          </w:tcPr>
          <w:p w:rsidR="00432E47" w:rsidRDefault="00432E47" w:rsidP="00203277">
            <w:pPr>
              <w:rPr>
                <w:rFonts w:ascii="Arial" w:hAnsi="Arial"/>
                <w:sz w:val="22"/>
                <w:szCs w:val="22"/>
              </w:rPr>
            </w:pPr>
            <w:r>
              <w:rPr>
                <w:rFonts w:ascii="Arial" w:hAnsi="Arial"/>
                <w:sz w:val="22"/>
                <w:szCs w:val="22"/>
              </w:rPr>
              <w:t>Inner-City Tour Buses</w:t>
            </w:r>
          </w:p>
        </w:tc>
      </w:tr>
      <w:tr w:rsidR="00432E47" w:rsidTr="00432E47">
        <w:tc>
          <w:tcPr>
            <w:tcW w:w="2574" w:type="dxa"/>
          </w:tcPr>
          <w:p w:rsidR="00432E47" w:rsidRDefault="00432E47" w:rsidP="00203277">
            <w:pPr>
              <w:rPr>
                <w:rFonts w:ascii="Arial" w:hAnsi="Arial"/>
                <w:sz w:val="22"/>
                <w:szCs w:val="22"/>
              </w:rPr>
            </w:pPr>
            <w:r>
              <w:rPr>
                <w:rFonts w:ascii="Arial" w:hAnsi="Arial"/>
                <w:sz w:val="22"/>
                <w:szCs w:val="22"/>
              </w:rPr>
              <w:t>Tanker Trucks</w:t>
            </w:r>
          </w:p>
        </w:tc>
        <w:tc>
          <w:tcPr>
            <w:tcW w:w="2574" w:type="dxa"/>
          </w:tcPr>
          <w:p w:rsidR="00432E47" w:rsidRDefault="00432E47" w:rsidP="00203277">
            <w:pPr>
              <w:rPr>
                <w:rFonts w:ascii="Arial" w:hAnsi="Arial"/>
                <w:sz w:val="22"/>
                <w:szCs w:val="22"/>
              </w:rPr>
            </w:pPr>
            <w:r>
              <w:rPr>
                <w:rFonts w:ascii="Arial" w:hAnsi="Arial"/>
                <w:sz w:val="22"/>
                <w:szCs w:val="22"/>
              </w:rPr>
              <w:t>Dump Trucks</w:t>
            </w:r>
          </w:p>
        </w:tc>
        <w:tc>
          <w:tcPr>
            <w:tcW w:w="2574" w:type="dxa"/>
          </w:tcPr>
          <w:p w:rsidR="00432E47" w:rsidRDefault="00432E47" w:rsidP="00203277">
            <w:pPr>
              <w:rPr>
                <w:rFonts w:ascii="Arial" w:hAnsi="Arial"/>
                <w:sz w:val="22"/>
                <w:szCs w:val="22"/>
              </w:rPr>
            </w:pPr>
            <w:r>
              <w:rPr>
                <w:rFonts w:ascii="Arial" w:hAnsi="Arial"/>
                <w:sz w:val="22"/>
                <w:szCs w:val="22"/>
              </w:rPr>
              <w:t>Large Motor Homes</w:t>
            </w:r>
          </w:p>
        </w:tc>
        <w:tc>
          <w:tcPr>
            <w:tcW w:w="2574" w:type="dxa"/>
          </w:tcPr>
          <w:p w:rsidR="00432E47" w:rsidRDefault="00432E47" w:rsidP="00203277">
            <w:pPr>
              <w:rPr>
                <w:rFonts w:ascii="Arial" w:hAnsi="Arial"/>
                <w:sz w:val="22"/>
                <w:szCs w:val="22"/>
              </w:rPr>
            </w:pPr>
            <w:r>
              <w:rPr>
                <w:rFonts w:ascii="Arial" w:hAnsi="Arial"/>
                <w:sz w:val="22"/>
                <w:szCs w:val="22"/>
              </w:rPr>
              <w:t>Tow Trucks</w:t>
            </w:r>
          </w:p>
        </w:tc>
      </w:tr>
      <w:tr w:rsidR="00432E47" w:rsidTr="00432E47">
        <w:tc>
          <w:tcPr>
            <w:tcW w:w="2574" w:type="dxa"/>
          </w:tcPr>
          <w:p w:rsidR="00432E47" w:rsidRDefault="00432E47" w:rsidP="00203277">
            <w:pPr>
              <w:rPr>
                <w:rFonts w:ascii="Arial" w:hAnsi="Arial"/>
                <w:sz w:val="22"/>
                <w:szCs w:val="22"/>
              </w:rPr>
            </w:pPr>
            <w:r>
              <w:rPr>
                <w:rFonts w:ascii="Arial" w:hAnsi="Arial"/>
                <w:sz w:val="22"/>
                <w:szCs w:val="22"/>
              </w:rPr>
              <w:t>Flat-Bed Trucks</w:t>
            </w:r>
          </w:p>
        </w:tc>
        <w:tc>
          <w:tcPr>
            <w:tcW w:w="2574" w:type="dxa"/>
          </w:tcPr>
          <w:p w:rsidR="00432E47" w:rsidRDefault="00432E47" w:rsidP="00203277">
            <w:pPr>
              <w:rPr>
                <w:rFonts w:ascii="Arial" w:hAnsi="Arial"/>
                <w:sz w:val="22"/>
                <w:szCs w:val="22"/>
              </w:rPr>
            </w:pPr>
            <w:r>
              <w:rPr>
                <w:rFonts w:ascii="Arial" w:hAnsi="Arial"/>
                <w:sz w:val="22"/>
                <w:szCs w:val="22"/>
              </w:rPr>
              <w:t>Rack Trucks</w:t>
            </w:r>
          </w:p>
        </w:tc>
        <w:tc>
          <w:tcPr>
            <w:tcW w:w="2574" w:type="dxa"/>
          </w:tcPr>
          <w:p w:rsidR="00432E47" w:rsidRDefault="00432E47" w:rsidP="00203277">
            <w:pPr>
              <w:rPr>
                <w:rFonts w:ascii="Arial" w:hAnsi="Arial"/>
                <w:sz w:val="22"/>
                <w:szCs w:val="22"/>
              </w:rPr>
            </w:pPr>
            <w:r>
              <w:rPr>
                <w:rFonts w:ascii="Arial" w:hAnsi="Arial"/>
                <w:sz w:val="22"/>
                <w:szCs w:val="22"/>
              </w:rPr>
              <w:t>Tractor-Trailer Rigs</w:t>
            </w:r>
          </w:p>
        </w:tc>
        <w:tc>
          <w:tcPr>
            <w:tcW w:w="2574" w:type="dxa"/>
          </w:tcPr>
          <w:p w:rsidR="00432E47" w:rsidRDefault="00432E47" w:rsidP="00203277">
            <w:pPr>
              <w:rPr>
                <w:rFonts w:ascii="Arial" w:hAnsi="Arial"/>
                <w:sz w:val="22"/>
                <w:szCs w:val="22"/>
              </w:rPr>
            </w:pPr>
            <w:r>
              <w:rPr>
                <w:rFonts w:ascii="Arial" w:hAnsi="Arial"/>
                <w:sz w:val="22"/>
                <w:szCs w:val="22"/>
              </w:rPr>
              <w:t>Fuel Trucks</w:t>
            </w:r>
          </w:p>
        </w:tc>
      </w:tr>
      <w:tr w:rsidR="00432E47" w:rsidTr="00432E47">
        <w:tc>
          <w:tcPr>
            <w:tcW w:w="2574" w:type="dxa"/>
          </w:tcPr>
          <w:p w:rsidR="00432E47" w:rsidRDefault="00432E47" w:rsidP="00203277">
            <w:pPr>
              <w:rPr>
                <w:rFonts w:ascii="Arial" w:hAnsi="Arial"/>
                <w:sz w:val="22"/>
                <w:szCs w:val="22"/>
              </w:rPr>
            </w:pPr>
            <w:r>
              <w:rPr>
                <w:rFonts w:ascii="Arial" w:hAnsi="Arial"/>
                <w:sz w:val="22"/>
                <w:szCs w:val="22"/>
              </w:rPr>
              <w:t xml:space="preserve">School </w:t>
            </w:r>
            <w:r w:rsidR="00DB004D">
              <w:rPr>
                <w:rFonts w:ascii="Arial" w:hAnsi="Arial"/>
                <w:sz w:val="22"/>
                <w:szCs w:val="22"/>
              </w:rPr>
              <w:t xml:space="preserve">&amp; Transit </w:t>
            </w:r>
            <w:r>
              <w:rPr>
                <w:rFonts w:ascii="Arial" w:hAnsi="Arial"/>
                <w:sz w:val="22"/>
                <w:szCs w:val="22"/>
              </w:rPr>
              <w:t>Buses</w:t>
            </w:r>
          </w:p>
        </w:tc>
        <w:tc>
          <w:tcPr>
            <w:tcW w:w="2574" w:type="dxa"/>
          </w:tcPr>
          <w:p w:rsidR="00432E47" w:rsidRDefault="00DB004D" w:rsidP="00203277">
            <w:pPr>
              <w:rPr>
                <w:rFonts w:ascii="Arial" w:hAnsi="Arial"/>
                <w:sz w:val="22"/>
                <w:szCs w:val="22"/>
              </w:rPr>
            </w:pPr>
            <w:r>
              <w:rPr>
                <w:rFonts w:ascii="Arial" w:hAnsi="Arial"/>
                <w:sz w:val="22"/>
                <w:szCs w:val="22"/>
              </w:rPr>
              <w:t>Garbage Trucks</w:t>
            </w:r>
          </w:p>
        </w:tc>
        <w:tc>
          <w:tcPr>
            <w:tcW w:w="2574" w:type="dxa"/>
          </w:tcPr>
          <w:p w:rsidR="00432E47" w:rsidRDefault="00432E47" w:rsidP="00203277">
            <w:pPr>
              <w:rPr>
                <w:rFonts w:ascii="Arial" w:hAnsi="Arial"/>
                <w:sz w:val="22"/>
                <w:szCs w:val="22"/>
              </w:rPr>
            </w:pPr>
            <w:r>
              <w:rPr>
                <w:rFonts w:ascii="Arial" w:hAnsi="Arial"/>
                <w:sz w:val="22"/>
                <w:szCs w:val="22"/>
              </w:rPr>
              <w:t>Furniture Trucks</w:t>
            </w:r>
          </w:p>
        </w:tc>
        <w:tc>
          <w:tcPr>
            <w:tcW w:w="2574" w:type="dxa"/>
          </w:tcPr>
          <w:p w:rsidR="00432E47" w:rsidRDefault="00432E47" w:rsidP="00203277">
            <w:pPr>
              <w:rPr>
                <w:rFonts w:ascii="Arial" w:hAnsi="Arial"/>
                <w:sz w:val="22"/>
                <w:szCs w:val="22"/>
              </w:rPr>
            </w:pPr>
            <w:r>
              <w:rPr>
                <w:rFonts w:ascii="Arial" w:hAnsi="Arial"/>
                <w:sz w:val="22"/>
                <w:szCs w:val="22"/>
              </w:rPr>
              <w:t>Service Body Trucks</w:t>
            </w:r>
          </w:p>
        </w:tc>
      </w:tr>
    </w:tbl>
    <w:p w:rsidR="00432E47" w:rsidRDefault="00CD29D9" w:rsidP="00203277">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65408" behindDoc="0" locked="0" layoutInCell="1" allowOverlap="1" wp14:anchorId="4FF3454A" wp14:editId="42B61128">
                <wp:simplePos x="0" y="0"/>
                <wp:positionH relativeFrom="column">
                  <wp:posOffset>29210</wp:posOffset>
                </wp:positionH>
                <wp:positionV relativeFrom="paragraph">
                  <wp:posOffset>150305</wp:posOffset>
                </wp:positionV>
                <wp:extent cx="64008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CBB96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pt,11.85pt" to="50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" strokecolor="#cbb96c" strokeweight="2.25pt">
                <v:stroke dashstyle="dash"/>
              </v:line>
            </w:pict>
          </mc:Fallback>
        </mc:AlternateContent>
      </w:r>
    </w:p>
    <w:p w:rsidR="00CD29D9" w:rsidRDefault="00CD29D9" w:rsidP="00CD29D9">
      <w:pPr>
        <w:rPr>
          <w:rFonts w:ascii="Arial" w:hAnsi="Arial"/>
          <w:sz w:val="22"/>
          <w:szCs w:val="22"/>
        </w:rPr>
      </w:pPr>
    </w:p>
    <w:p w:rsidR="00203277" w:rsidRPr="00203277" w:rsidRDefault="00CD29D9" w:rsidP="00CD29D9">
      <w:pPr>
        <w:rPr>
          <w:rFonts w:ascii="Arial" w:hAnsi="Arial"/>
          <w:sz w:val="22"/>
          <w:szCs w:val="22"/>
        </w:rPr>
      </w:pPr>
      <w:r>
        <w:rPr>
          <w:rFonts w:ascii="Arial" w:hAnsi="Arial"/>
          <w:sz w:val="22"/>
          <w:szCs w:val="22"/>
        </w:rPr>
        <w:t>For more information about anti-idling ordinances in the Alamo region, c</w:t>
      </w:r>
      <w:r w:rsidR="00203277" w:rsidRPr="00203277">
        <w:rPr>
          <w:rFonts w:ascii="Arial" w:hAnsi="Arial"/>
          <w:sz w:val="22"/>
          <w:szCs w:val="22"/>
        </w:rPr>
        <w:t>ontact</w:t>
      </w:r>
      <w:r>
        <w:rPr>
          <w:rFonts w:ascii="Arial" w:hAnsi="Arial"/>
          <w:sz w:val="22"/>
          <w:szCs w:val="22"/>
        </w:rPr>
        <w:t xml:space="preserve"> </w:t>
      </w:r>
      <w:r w:rsidR="007207E9">
        <w:rPr>
          <w:rFonts w:ascii="Arial" w:hAnsi="Arial"/>
          <w:sz w:val="22"/>
          <w:szCs w:val="22"/>
        </w:rPr>
        <w:t>Nic Jones</w:t>
      </w:r>
      <w:r>
        <w:rPr>
          <w:rFonts w:ascii="Arial" w:hAnsi="Arial"/>
          <w:sz w:val="22"/>
          <w:szCs w:val="22"/>
        </w:rPr>
        <w:t xml:space="preserve"> at (210) </w:t>
      </w:r>
      <w:r w:rsidR="00DA69C0">
        <w:rPr>
          <w:rFonts w:ascii="Arial" w:hAnsi="Arial"/>
          <w:sz w:val="22"/>
          <w:szCs w:val="22"/>
        </w:rPr>
        <w:t>918</w:t>
      </w:r>
      <w:r>
        <w:rPr>
          <w:rFonts w:ascii="Arial" w:hAnsi="Arial"/>
          <w:sz w:val="22"/>
          <w:szCs w:val="22"/>
        </w:rPr>
        <w:t>-</w:t>
      </w:r>
      <w:r w:rsidR="00DA69C0">
        <w:rPr>
          <w:rFonts w:ascii="Arial" w:hAnsi="Arial"/>
          <w:sz w:val="22"/>
          <w:szCs w:val="22"/>
        </w:rPr>
        <w:t>1299</w:t>
      </w:r>
      <w:r>
        <w:rPr>
          <w:rFonts w:ascii="Arial" w:hAnsi="Arial"/>
          <w:sz w:val="22"/>
          <w:szCs w:val="22"/>
        </w:rPr>
        <w:t xml:space="preserve"> or </w:t>
      </w:r>
      <w:r w:rsidR="007207E9">
        <w:rPr>
          <w:rFonts w:ascii="Arial" w:hAnsi="Arial"/>
          <w:sz w:val="22"/>
          <w:szCs w:val="22"/>
        </w:rPr>
        <w:t>njones</w:t>
      </w:r>
      <w:r>
        <w:rPr>
          <w:rFonts w:ascii="Arial" w:hAnsi="Arial"/>
          <w:sz w:val="22"/>
          <w:szCs w:val="22"/>
        </w:rPr>
        <w:t>@aacog.com.</w:t>
      </w:r>
    </w:p>
    <w:p w:rsidR="00203277" w:rsidRPr="00203277" w:rsidRDefault="007207E9" w:rsidP="00203277">
      <w:pPr>
        <w:ind w:left="720"/>
        <w:rPr>
          <w:rFonts w:ascii="Arial" w:hAnsi="Arial"/>
          <w:sz w:val="22"/>
          <w:szCs w:val="22"/>
        </w:rPr>
      </w:pPr>
      <w:r>
        <w:rPr>
          <w:noProof/>
          <w:sz w:val="22"/>
          <w:szCs w:val="22"/>
        </w:rPr>
        <w:drawing>
          <wp:anchor distT="0" distB="0" distL="114300" distR="114300" simplePos="0" relativeHeight="251668480" behindDoc="0" locked="0" layoutInCell="1" allowOverlap="1" wp14:anchorId="1CFDDF7A" wp14:editId="5273064A">
            <wp:simplePos x="0" y="0"/>
            <wp:positionH relativeFrom="column">
              <wp:posOffset>5666740</wp:posOffset>
            </wp:positionH>
            <wp:positionV relativeFrom="paragraph">
              <wp:posOffset>78740</wp:posOffset>
            </wp:positionV>
            <wp:extent cx="639445" cy="640715"/>
            <wp:effectExtent l="0" t="0" r="825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xar Coun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445" cy="640715"/>
                    </a:xfrm>
                    <a:prstGeom prst="rect">
                      <a:avLst/>
                    </a:prstGeom>
                  </pic:spPr>
                </pic:pic>
              </a:graphicData>
            </a:graphic>
            <wp14:sizeRelH relativeFrom="page">
              <wp14:pctWidth>0</wp14:pctWidth>
            </wp14:sizeRelH>
            <wp14:sizeRelV relativeFrom="page">
              <wp14:pctHeight>0</wp14:pctHeight>
            </wp14:sizeRelV>
          </wp:anchor>
        </w:drawing>
      </w:r>
    </w:p>
    <w:p w:rsidR="00AA737E" w:rsidRPr="00203277" w:rsidRDefault="00CD29D9">
      <w:pPr>
        <w:rPr>
          <w:sz w:val="22"/>
          <w:szCs w:val="22"/>
        </w:rPr>
      </w:pPr>
      <w:r>
        <w:rPr>
          <w:noProof/>
        </w:rPr>
        <w:drawing>
          <wp:anchor distT="0" distB="0" distL="114300" distR="114300" simplePos="0" relativeHeight="251667456" behindDoc="0" locked="0" layoutInCell="1" allowOverlap="1" wp14:anchorId="5794AEBC" wp14:editId="7E00377D">
            <wp:simplePos x="0" y="0"/>
            <wp:positionH relativeFrom="column">
              <wp:posOffset>2389315</wp:posOffset>
            </wp:positionH>
            <wp:positionV relativeFrom="paragraph">
              <wp:posOffset>1270</wp:posOffset>
            </wp:positionV>
            <wp:extent cx="1785572" cy="529323"/>
            <wp:effectExtent l="0" t="0" r="5715" b="4445"/>
            <wp:wrapNone/>
            <wp:docPr id="7" name="Picture 7" descr="w300_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00_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5572" cy="5293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inline distT="0" distB="0" distL="0" distR="0" wp14:anchorId="695DBB68" wp14:editId="4BEB6E81">
            <wp:extent cx="819397" cy="54795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OGLogoHiRes.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0216" cy="548500"/>
                    </a:xfrm>
                    <a:prstGeom prst="rect">
                      <a:avLst/>
                    </a:prstGeom>
                  </pic:spPr>
                </pic:pic>
              </a:graphicData>
            </a:graphic>
          </wp:inline>
        </w:drawing>
      </w:r>
      <w:r>
        <w:rPr>
          <w:sz w:val="22"/>
          <w:szCs w:val="22"/>
        </w:rPr>
        <w:tab/>
      </w:r>
    </w:p>
    <w:sectPr w:rsidR="00AA737E" w:rsidRPr="00203277" w:rsidSect="00CD29D9">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AC" w:rsidRDefault="007B02AC" w:rsidP="002C3645">
      <w:r>
        <w:separator/>
      </w:r>
    </w:p>
  </w:endnote>
  <w:endnote w:type="continuationSeparator" w:id="0">
    <w:p w:rsidR="007B02AC" w:rsidRDefault="007B02AC" w:rsidP="002C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5" w:rsidRDefault="002C3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5" w:rsidRDefault="002C3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5" w:rsidRDefault="002C3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AC" w:rsidRDefault="007B02AC" w:rsidP="002C3645">
      <w:r>
        <w:separator/>
      </w:r>
    </w:p>
  </w:footnote>
  <w:footnote w:type="continuationSeparator" w:id="0">
    <w:p w:rsidR="007B02AC" w:rsidRDefault="007B02AC" w:rsidP="002C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5" w:rsidRDefault="002C3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5" w:rsidRDefault="002C3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45" w:rsidRDefault="002C3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F9"/>
    <w:multiLevelType w:val="hybridMultilevel"/>
    <w:tmpl w:val="ABA8B7E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305A22BB"/>
    <w:multiLevelType w:val="hybridMultilevel"/>
    <w:tmpl w:val="33825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7528E2"/>
    <w:multiLevelType w:val="hybridMultilevel"/>
    <w:tmpl w:val="25F0AEA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7E"/>
    <w:rsid w:val="001339BE"/>
    <w:rsid w:val="00146B06"/>
    <w:rsid w:val="00203277"/>
    <w:rsid w:val="0027348B"/>
    <w:rsid w:val="002C3645"/>
    <w:rsid w:val="00310F12"/>
    <w:rsid w:val="00432E47"/>
    <w:rsid w:val="004638A7"/>
    <w:rsid w:val="004C6EE3"/>
    <w:rsid w:val="004D5380"/>
    <w:rsid w:val="00632E93"/>
    <w:rsid w:val="00634C64"/>
    <w:rsid w:val="0063518D"/>
    <w:rsid w:val="00692D30"/>
    <w:rsid w:val="006B0036"/>
    <w:rsid w:val="007207E9"/>
    <w:rsid w:val="00795709"/>
    <w:rsid w:val="007A716D"/>
    <w:rsid w:val="007B02AC"/>
    <w:rsid w:val="00862F83"/>
    <w:rsid w:val="008C589B"/>
    <w:rsid w:val="009C6FE7"/>
    <w:rsid w:val="00A17F7F"/>
    <w:rsid w:val="00A57B65"/>
    <w:rsid w:val="00AA737E"/>
    <w:rsid w:val="00BA3C39"/>
    <w:rsid w:val="00BF0628"/>
    <w:rsid w:val="00C77719"/>
    <w:rsid w:val="00C948FC"/>
    <w:rsid w:val="00CD29D9"/>
    <w:rsid w:val="00D34374"/>
    <w:rsid w:val="00D96016"/>
    <w:rsid w:val="00DA69C0"/>
    <w:rsid w:val="00DB004D"/>
    <w:rsid w:val="00DB409B"/>
    <w:rsid w:val="00DC3B78"/>
    <w:rsid w:val="00DD26AB"/>
    <w:rsid w:val="00E7005C"/>
    <w:rsid w:val="00EA3802"/>
    <w:rsid w:val="00EC3FDC"/>
    <w:rsid w:val="00FC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7E"/>
    <w:rPr>
      <w:rFonts w:ascii="Tahoma" w:hAnsi="Tahoma" w:cs="Tahoma"/>
      <w:sz w:val="16"/>
      <w:szCs w:val="16"/>
    </w:rPr>
  </w:style>
  <w:style w:type="character" w:customStyle="1" w:styleId="BalloonTextChar">
    <w:name w:val="Balloon Text Char"/>
    <w:basedOn w:val="DefaultParagraphFont"/>
    <w:link w:val="BalloonText"/>
    <w:uiPriority w:val="99"/>
    <w:semiHidden/>
    <w:rsid w:val="00AA737E"/>
    <w:rPr>
      <w:rFonts w:ascii="Tahoma" w:hAnsi="Tahoma" w:cs="Tahoma"/>
      <w:sz w:val="16"/>
      <w:szCs w:val="16"/>
    </w:rPr>
  </w:style>
  <w:style w:type="paragraph" w:styleId="ListParagraph">
    <w:name w:val="List Paragraph"/>
    <w:basedOn w:val="Normal"/>
    <w:uiPriority w:val="34"/>
    <w:qFormat/>
    <w:rsid w:val="00203277"/>
    <w:pPr>
      <w:ind w:left="720"/>
      <w:contextualSpacing/>
    </w:pPr>
  </w:style>
  <w:style w:type="table" w:styleId="TableGrid">
    <w:name w:val="Table Grid"/>
    <w:basedOn w:val="TableNormal"/>
    <w:uiPriority w:val="59"/>
    <w:rsid w:val="0043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645"/>
    <w:pPr>
      <w:tabs>
        <w:tab w:val="center" w:pos="4680"/>
        <w:tab w:val="right" w:pos="9360"/>
      </w:tabs>
    </w:pPr>
  </w:style>
  <w:style w:type="character" w:customStyle="1" w:styleId="HeaderChar">
    <w:name w:val="Header Char"/>
    <w:basedOn w:val="DefaultParagraphFont"/>
    <w:link w:val="Header"/>
    <w:uiPriority w:val="99"/>
    <w:rsid w:val="002C3645"/>
    <w:rPr>
      <w:rFonts w:ascii="Georgia" w:hAnsi="Georgia"/>
      <w:sz w:val="24"/>
      <w:szCs w:val="24"/>
    </w:rPr>
  </w:style>
  <w:style w:type="paragraph" w:styleId="Footer">
    <w:name w:val="footer"/>
    <w:basedOn w:val="Normal"/>
    <w:link w:val="FooterChar"/>
    <w:uiPriority w:val="99"/>
    <w:unhideWhenUsed/>
    <w:rsid w:val="002C3645"/>
    <w:pPr>
      <w:tabs>
        <w:tab w:val="center" w:pos="4680"/>
        <w:tab w:val="right" w:pos="9360"/>
      </w:tabs>
    </w:pPr>
  </w:style>
  <w:style w:type="character" w:customStyle="1" w:styleId="FooterChar">
    <w:name w:val="Footer Char"/>
    <w:basedOn w:val="DefaultParagraphFont"/>
    <w:link w:val="Footer"/>
    <w:uiPriority w:val="99"/>
    <w:rsid w:val="002C3645"/>
    <w:rPr>
      <w:rFonts w:ascii="Georgia" w:hAnsi="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7E"/>
    <w:rPr>
      <w:rFonts w:ascii="Tahoma" w:hAnsi="Tahoma" w:cs="Tahoma"/>
      <w:sz w:val="16"/>
      <w:szCs w:val="16"/>
    </w:rPr>
  </w:style>
  <w:style w:type="character" w:customStyle="1" w:styleId="BalloonTextChar">
    <w:name w:val="Balloon Text Char"/>
    <w:basedOn w:val="DefaultParagraphFont"/>
    <w:link w:val="BalloonText"/>
    <w:uiPriority w:val="99"/>
    <w:semiHidden/>
    <w:rsid w:val="00AA737E"/>
    <w:rPr>
      <w:rFonts w:ascii="Tahoma" w:hAnsi="Tahoma" w:cs="Tahoma"/>
      <w:sz w:val="16"/>
      <w:szCs w:val="16"/>
    </w:rPr>
  </w:style>
  <w:style w:type="paragraph" w:styleId="ListParagraph">
    <w:name w:val="List Paragraph"/>
    <w:basedOn w:val="Normal"/>
    <w:uiPriority w:val="34"/>
    <w:qFormat/>
    <w:rsid w:val="00203277"/>
    <w:pPr>
      <w:ind w:left="720"/>
      <w:contextualSpacing/>
    </w:pPr>
  </w:style>
  <w:style w:type="table" w:styleId="TableGrid">
    <w:name w:val="Table Grid"/>
    <w:basedOn w:val="TableNormal"/>
    <w:uiPriority w:val="59"/>
    <w:rsid w:val="0043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645"/>
    <w:pPr>
      <w:tabs>
        <w:tab w:val="center" w:pos="4680"/>
        <w:tab w:val="right" w:pos="9360"/>
      </w:tabs>
    </w:pPr>
  </w:style>
  <w:style w:type="character" w:customStyle="1" w:styleId="HeaderChar">
    <w:name w:val="Header Char"/>
    <w:basedOn w:val="DefaultParagraphFont"/>
    <w:link w:val="Header"/>
    <w:uiPriority w:val="99"/>
    <w:rsid w:val="002C3645"/>
    <w:rPr>
      <w:rFonts w:ascii="Georgia" w:hAnsi="Georgia"/>
      <w:sz w:val="24"/>
      <w:szCs w:val="24"/>
    </w:rPr>
  </w:style>
  <w:style w:type="paragraph" w:styleId="Footer">
    <w:name w:val="footer"/>
    <w:basedOn w:val="Normal"/>
    <w:link w:val="FooterChar"/>
    <w:uiPriority w:val="99"/>
    <w:unhideWhenUsed/>
    <w:rsid w:val="002C3645"/>
    <w:pPr>
      <w:tabs>
        <w:tab w:val="center" w:pos="4680"/>
        <w:tab w:val="right" w:pos="9360"/>
      </w:tabs>
    </w:pPr>
  </w:style>
  <w:style w:type="character" w:customStyle="1" w:styleId="FooterChar">
    <w:name w:val="Footer Char"/>
    <w:basedOn w:val="DefaultParagraphFont"/>
    <w:link w:val="Footer"/>
    <w:uiPriority w:val="99"/>
    <w:rsid w:val="002C364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C33E-B8CF-495B-9D0D-0B864A05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williamsb</dc:creator>
  <cp:lastModifiedBy>Nicholas Jones</cp:lastModifiedBy>
  <cp:revision>2</cp:revision>
  <cp:lastPrinted>2016-02-26T13:55:00Z</cp:lastPrinted>
  <dcterms:created xsi:type="dcterms:W3CDTF">2016-03-03T19:09:00Z</dcterms:created>
  <dcterms:modified xsi:type="dcterms:W3CDTF">2016-03-03T19:09:00Z</dcterms:modified>
</cp:coreProperties>
</file>